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hyi345bhbvb2" w:id="0"/>
      <w:bookmarkEnd w:id="0"/>
      <w:r w:rsidDel="00000000" w:rsidR="00000000" w:rsidRPr="00000000">
        <w:rPr>
          <w:rtl w:val="0"/>
        </w:rPr>
        <w:t xml:space="preserve">REGULAMIN ŚWIADCZENIA USŁUG BEHAWIORALNYCH ONLINE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d1ua0rlsv52n" w:id="1"/>
      <w:bookmarkEnd w:id="1"/>
      <w:r w:rsidDel="00000000" w:rsidR="00000000" w:rsidRPr="00000000">
        <w:rPr>
          <w:rtl w:val="0"/>
        </w:rPr>
        <w:t xml:space="preserve">WOLFDOG BEHAWIOR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wrkc3f806ws3" w:id="2"/>
      <w:bookmarkEnd w:id="2"/>
      <w:r w:rsidDel="00000000" w:rsidR="00000000" w:rsidRPr="00000000">
        <w:rPr>
          <w:rtl w:val="0"/>
        </w:rPr>
        <w:t xml:space="preserve">§ 1. Postanowienia ogólne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Niniejszy Regulamin określa zasady świadczenia usług behawioralnych oraz szkoleniowych w formie online przez markę </w:t>
      </w:r>
      <w:r w:rsidDel="00000000" w:rsidR="00000000" w:rsidRPr="00000000">
        <w:rPr>
          <w:b w:val="1"/>
          <w:bCs w:val="1"/>
          <w:rtl w:val="0"/>
        </w:rPr>
        <w:t xml:space="preserve">WolfDog Behawior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Usługi świadczone są w formie zdalnej, w tym poprzez konsultacje wideo/audio na żywo oraz analizę nadesłanych materiałów treningowych i kwestionariuszy.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Do prawidłowego skorzystania z usług wymagane jest posiadanie przez Klienta: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Urządzenia z stabilnym dostępem do sieci Internet (komputer, tablet lub smartfon).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Sprawnej kamery oraz mikrofonu.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Zainstalowanej aplikacji do połączeń wideo/audio uzgodnionej ze Świadczeniodawcą.</w:t>
      </w:r>
    </w:p>
    <w:p w:rsidR="00000000" w:rsidDel="00000000" w:rsidP="00000000" w:rsidRDefault="00000000" w:rsidRPr="00000000" w14:paraId="0000000B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rPr/>
      </w:pPr>
      <w:bookmarkStart w:colFirst="0" w:colLast="0" w:name="_juykrygwn8ym" w:id="3"/>
      <w:bookmarkEnd w:id="3"/>
      <w:r w:rsidDel="00000000" w:rsidR="00000000" w:rsidRPr="00000000">
        <w:rPr>
          <w:rtl w:val="0"/>
        </w:rPr>
        <w:t xml:space="preserve">§ 2. Zasady zapisów i płatności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Rezerwacja terminu konsultacji lub pakietu usług następuje poprzez udostępnione kanały kontaktu (formularz, e-mail, telefon) i jest potwierdzana przez Świadczeniodawcę.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Warunkiem koniecznym do odbycia się konsultacji jest opłacenie wybranej usługi zgodnie z obowiązującym cennikiem.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Płatność należy uregulować przed planowanym terminem konsultacji, w terminie wskazanym w potwierdzeniu rezerwacji. Brak zaksięgowania wpłaty może skutkować anulowaniem rezerwacji.</w:t>
      </w:r>
    </w:p>
    <w:p w:rsidR="00000000" w:rsidDel="00000000" w:rsidP="00000000" w:rsidRDefault="00000000" w:rsidRPr="00000000" w14:paraId="00000011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9e3x1evi679s" w:id="4"/>
      <w:bookmarkEnd w:id="4"/>
      <w:r w:rsidDel="00000000" w:rsidR="00000000" w:rsidRPr="00000000">
        <w:rPr>
          <w:rtl w:val="0"/>
        </w:rPr>
        <w:t xml:space="preserve">§ 3. Przebieg konsultacji i realizacja planów treningowych</w:t>
      </w:r>
    </w:p>
    <w:tbl>
      <w:tblPr>
        <w:tblStyle w:val="Table1"/>
        <w:tblW w:w="10500.0" w:type="dxa"/>
        <w:jc w:val="left"/>
        <w:tblBorders>
          <w:top w:color="cbd5e1" w:space="0" w:sz="8" w:val="single"/>
          <w:left w:color="000000" w:space="0" w:sz="0" w:val="nil"/>
          <w:bottom w:color="cbd5e1" w:space="0" w:sz="8" w:val="single"/>
          <w:right w:color="000000" w:space="0" w:sz="0" w:val="nil"/>
          <w:insideH w:color="e2e8f0" w:space="0" w:sz="4" w:val="single"/>
          <w:insideV w:color="000000" w:space="0" w:sz="0" w:val="nil"/>
        </w:tblBorders>
        <w:tblLayout w:type="fixed"/>
        <w:tblLook w:val="0620"/>
      </w:tblPr>
      <w:tblGrid>
        <w:gridCol w:w="3500"/>
        <w:gridCol w:w="3500"/>
        <w:gridCol w:w="3500"/>
        <w:tblGridChange w:id="0">
          <w:tblGrid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Etap Usługi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Czas Trwania / Termin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Zakres i Obowiązki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Konsultacja wstępna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60 minut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Spotkanie na żywo online; szczegółowy wywiad behawioralny i wstępna ocena problemu.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Współpraca Opiekuna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Przed/w trakcie spotkania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Przekazanie rzetelnych informacji o psu oraz (w razie potrzeby) nadesłanie czytelnych materiałów wideo.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Opracowanie zaleceń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24–48 godzin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Przesłanie pisemnego podsumowania, raportu lub indywidualnego planu treningowego od momentu zakończenia konsultacji/odbiory kompletnych materiałów.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rPr/>
      </w:pPr>
      <w:bookmarkStart w:colFirst="0" w:colLast="0" w:name="_s7ibu0kg25i6" w:id="5"/>
      <w:bookmarkEnd w:id="5"/>
      <w:r w:rsidDel="00000000" w:rsidR="00000000" w:rsidRPr="00000000">
        <w:rPr>
          <w:rtl w:val="0"/>
        </w:rPr>
        <w:t xml:space="preserve">§ 4. Zmiana terminu i odwołanie zajęć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Klient ma prawo do bezpłatnej zmiany terminu planowanej konsultacji najpóźniej na </w:t>
      </w:r>
      <w:r w:rsidDel="00000000" w:rsidR="00000000" w:rsidRPr="00000000">
        <w:rPr>
          <w:b w:val="1"/>
          <w:bCs w:val="1"/>
          <w:rtl w:val="0"/>
        </w:rPr>
        <w:t xml:space="preserve">24 godziny</w:t>
      </w:r>
      <w:r w:rsidDel="00000000" w:rsidR="00000000" w:rsidRPr="00000000">
        <w:rPr>
          <w:rtl w:val="0"/>
        </w:rPr>
        <w:t xml:space="preserve"> przed jej rozpoczęciem.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W przypadku zgłoszenia zmiany terminu w czasie krótszym niż 24 godziny lub niepojawienia się Klienta na konsultacji bez wcześniejszego poinformowania, usługa może zostać uznana za zrealizowaną, a uiszczona opłata nie podlega zwrotowi.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W wyjątkowych sytuacjach losowych Świadczeniodawca zastrzega sobie prawo do zmiany terminu konsultacji po uprzednim poinformowaniu Klienta i ustaleniu nowego, dogodnego terminu.</w:t>
      </w:r>
    </w:p>
    <w:p w:rsidR="00000000" w:rsidDel="00000000" w:rsidP="00000000" w:rsidRDefault="00000000" w:rsidRPr="00000000" w14:paraId="00000026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rPr/>
      </w:pPr>
      <w:bookmarkStart w:colFirst="0" w:colLast="0" w:name="_23hp4r7ttkxn" w:id="6"/>
      <w:bookmarkEnd w:id="6"/>
      <w:r w:rsidDel="00000000" w:rsidR="00000000" w:rsidRPr="00000000">
        <w:rPr>
          <w:rtl w:val="0"/>
        </w:rPr>
        <w:t xml:space="preserve">§ 5. Odpowiedzialność i bezpieczeństwo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Behawiorysta zobowiązuje się do przygotowania i przedstawienia zaleceń oraz planu pracy dostosowanego do indywidualnych potrzeb psa i opiekuna, zgodnie z aktualną wiedzą naukową.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Ostateczne efekty procesu behawioralnego i szkoleniowego zależą od zaangażowania, systematyczności oraz skrupulatnego wdrażania zaleceń przez Opiekuna.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Opiekun ponosi pełną odpowiedzialność za bezpieczeństwo psa, własne, osób trzecich oraz otoczenia podczas przygotowywania materiałów wideo oraz bezpośredniego wykonywania ćwiczeń z psem.</w:t>
      </w:r>
    </w:p>
    <w:p w:rsidR="00000000" w:rsidDel="00000000" w:rsidP="00000000" w:rsidRDefault="00000000" w:rsidRPr="00000000" w14:paraId="0000002C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rPr/>
      </w:pPr>
      <w:bookmarkStart w:colFirst="0" w:colLast="0" w:name="_t729tk9y3k8u" w:id="7"/>
      <w:bookmarkEnd w:id="7"/>
      <w:r w:rsidDel="00000000" w:rsidR="00000000" w:rsidRPr="00000000">
        <w:rPr>
          <w:rtl w:val="0"/>
        </w:rPr>
        <w:t xml:space="preserve">§ 6. Ochrona danych i prywatność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Wszelkie materiały wideo, zdjęcia, formularze oraz dane osobowe udostępnione przez Klienta mają charakter poufny i są wykorzystywane wyłącznie na potrzeby prawidłowej realizacji usługi.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Zasady przetwarzania danych osobowych oraz prawa Klienta z tym związane reguluje Polityka Prywatności zgodna z obowiązującymi przepisami RODO.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inzel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color w:val="334155"/>
        <w:sz w:val="22"/>
        <w:szCs w:val="22"/>
        <w:lang w:val="pl"/>
      </w:rPr>
    </w:rPrDefault>
    <w:pPrDefault>
      <w:pPr>
        <w:spacing w:line="324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88" w:lineRule="auto"/>
    </w:pPr>
    <w:rPr>
      <w:rFonts w:ascii="Cinzel" w:cs="Cinzel" w:eastAsia="Cinzel" w:hAnsi="Cinzel"/>
      <w:b w:val="1"/>
      <w:bCs w:val="1"/>
      <w:i w:val="0"/>
      <w:iCs w:val="0"/>
      <w:color w:val="1e293b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Inter" w:cs="Inter" w:eastAsia="Inter" w:hAnsi="Inter"/>
      <w:b w:val="1"/>
      <w:bCs w:val="1"/>
      <w:i w:val="0"/>
      <w:iCs w:val="0"/>
      <w:color w:val="334155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Cinzel" w:cs="Cinzel" w:eastAsia="Cinzel" w:hAnsi="Cinzel"/>
      <w:b w:val="1"/>
      <w:bCs w:val="1"/>
      <w:i w:val="0"/>
      <w:iCs w:val="0"/>
      <w:color w:val="0f172a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300" w:lineRule="auto"/>
    </w:pPr>
    <w:rPr>
      <w:rFonts w:ascii="Inter" w:cs="Inter" w:eastAsia="Inter" w:hAnsi="Inter"/>
      <w:b w:val="1"/>
      <w:bCs w:val="1"/>
      <w:i w:val="0"/>
      <w:iCs w:val="0"/>
      <w:color w:val="475569"/>
      <w:sz w:val="22"/>
      <w:szCs w:val="22"/>
    </w:rPr>
  </w:style>
  <w:style w:type="table" w:styleId="Table1">
    <w:basedOn w:val="TableNormal"/>
    <w:tblPr>
      <w:tblStyleRowBandSize w:val="1"/>
      <w:tblStyleColBandSize w:val="1"/>
      <w:tblCellMar>
        <w:top w:w="120.0" w:type="dxa"/>
        <w:left w:w="160.0" w:type="dxa"/>
        <w:bottom w:w="120.0" w:type="dxa"/>
        <w:right w:w="160.0" w:type="dxa"/>
      </w:tblCellMar>
    </w:tblPr>
    <w:tcPr>
      <w:shd w:fill="ffffff" w:val="clear"/>
      <w:vAlign w:val="center"/>
    </w:tcPr>
    <w:tblStylePr w:type="firstRow">
      <w:rPr>
        <w:rFonts w:ascii="Inter" w:cs="Inter" w:eastAsia="Inter" w:hAnsi="Inter"/>
        <w:b w:val="1"/>
        <w:bCs w:val="1"/>
        <w:i w:val="0"/>
        <w:iCs w:val="0"/>
        <w:color w:val="1e293b"/>
        <w:sz w:val="20"/>
        <w:szCs w:val="20"/>
      </w:rPr>
      <w:tcPr>
        <w:shd w:fill="f8fafc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5" Type="http://schemas.openxmlformats.org/officeDocument/2006/relationships/font" Target="fonts/Cinzel-regular.ttf"/><Relationship Id="rId6" Type="http://schemas.openxmlformats.org/officeDocument/2006/relationships/font" Target="fonts/Cinzel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